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2BB" w:rsidRDefault="009872BB" w:rsidP="005B6700">
      <w:pPr>
        <w:rPr>
          <w:b/>
          <w:sz w:val="32"/>
          <w:szCs w:val="32"/>
        </w:rPr>
      </w:pPr>
    </w:p>
    <w:p w:rsidR="00EC4ECB" w:rsidRPr="00E32FF7" w:rsidRDefault="00EC4ECB" w:rsidP="005B6700">
      <w:pPr>
        <w:rPr>
          <w:b/>
          <w:sz w:val="40"/>
          <w:szCs w:val="40"/>
        </w:rPr>
      </w:pPr>
      <w:r w:rsidRPr="00E32FF7">
        <w:rPr>
          <w:b/>
          <w:sz w:val="40"/>
          <w:szCs w:val="40"/>
        </w:rPr>
        <w:t>¿Quién supervisa los riesgos?</w:t>
      </w:r>
    </w:p>
    <w:p w:rsidR="00EC4ECB" w:rsidRDefault="00EC4ECB" w:rsidP="00EC4ECB">
      <w:pPr>
        <w:rPr>
          <w:rFonts w:cstheme="minorHAnsi"/>
          <w:color w:val="000000" w:themeColor="text1"/>
        </w:rPr>
      </w:pPr>
      <w:r w:rsidRPr="00FA11B6">
        <w:rPr>
          <w:rFonts w:cstheme="minorHAnsi"/>
          <w:color w:val="000000" w:themeColor="text1"/>
        </w:rPr>
        <w:t>La vigilancia y protección de las llamadas infraestructuras críticas</w:t>
      </w:r>
      <w:r w:rsidR="00525401">
        <w:rPr>
          <w:rFonts w:cstheme="minorHAnsi"/>
          <w:color w:val="000000" w:themeColor="text1"/>
        </w:rPr>
        <w:t xml:space="preserve"> o sectores sensibles</w:t>
      </w:r>
      <w:r w:rsidRPr="00FA11B6">
        <w:rPr>
          <w:rFonts w:cstheme="minorHAnsi"/>
          <w:color w:val="000000" w:themeColor="text1"/>
        </w:rPr>
        <w:t xml:space="preserve"> involucr</w:t>
      </w:r>
      <w:r w:rsidR="00BF7066" w:rsidRPr="00FA11B6">
        <w:rPr>
          <w:rFonts w:cstheme="minorHAnsi"/>
          <w:color w:val="000000" w:themeColor="text1"/>
        </w:rPr>
        <w:t>a en España a varios organismos con competencias intersectori</w:t>
      </w:r>
      <w:r w:rsidR="001C13B6">
        <w:rPr>
          <w:rFonts w:cstheme="minorHAnsi"/>
          <w:color w:val="000000" w:themeColor="text1"/>
        </w:rPr>
        <w:t>ales, sectoriales y autonómicas.</w:t>
      </w:r>
      <w:r w:rsidR="00BF7066" w:rsidRPr="00FA11B6">
        <w:rPr>
          <w:rFonts w:cstheme="minorHAnsi"/>
          <w:color w:val="000000" w:themeColor="text1"/>
        </w:rPr>
        <w:t xml:space="preserve"> </w:t>
      </w:r>
      <w:r w:rsidRPr="00FA11B6">
        <w:rPr>
          <w:rFonts w:cstheme="minorHAnsi"/>
          <w:color w:val="000000" w:themeColor="text1"/>
        </w:rPr>
        <w:t xml:space="preserve"> </w:t>
      </w:r>
      <w:r w:rsidR="00525401">
        <w:rPr>
          <w:rFonts w:cstheme="minorHAnsi"/>
          <w:color w:val="000000" w:themeColor="text1"/>
        </w:rPr>
        <w:t xml:space="preserve">La coordinación entre todos es clave. </w:t>
      </w:r>
      <w:r w:rsidR="000470EF" w:rsidRPr="00FA11B6">
        <w:rPr>
          <w:rFonts w:cstheme="minorHAnsi"/>
          <w:color w:val="000000" w:themeColor="text1"/>
        </w:rPr>
        <w:t xml:space="preserve"> </w:t>
      </w:r>
      <w:r w:rsidR="001C13B6">
        <w:rPr>
          <w:rFonts w:cstheme="minorHAnsi"/>
          <w:color w:val="000000" w:themeColor="text1"/>
        </w:rPr>
        <w:t xml:space="preserve">Y su estructura depende del tipo de sector u operador. </w:t>
      </w:r>
    </w:p>
    <w:p w:rsidR="001C13B6" w:rsidRPr="001C13B6" w:rsidRDefault="001C13B6" w:rsidP="00EC4ECB">
      <w:pPr>
        <w:rPr>
          <w:rFonts w:cstheme="minorHAnsi"/>
          <w:color w:val="000000" w:themeColor="text1"/>
          <w:u w:val="single"/>
        </w:rPr>
      </w:pPr>
      <w:r w:rsidRPr="001C13B6">
        <w:rPr>
          <w:rFonts w:cstheme="minorHAnsi"/>
          <w:color w:val="000000" w:themeColor="text1"/>
          <w:u w:val="single"/>
        </w:rPr>
        <w:t>El coordinador global</w:t>
      </w:r>
    </w:p>
    <w:p w:rsidR="00586663" w:rsidRDefault="00EC4ECB" w:rsidP="00586663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</w:rPr>
      </w:pPr>
      <w:r w:rsidRPr="00FA11B6">
        <w:rPr>
          <w:rFonts w:cstheme="minorHAnsi"/>
          <w:b/>
          <w:color w:val="000000" w:themeColor="text1"/>
        </w:rPr>
        <w:t>Consejo de Seguridad Nacional</w:t>
      </w:r>
      <w:r w:rsidR="00975862">
        <w:rPr>
          <w:rFonts w:cstheme="minorHAnsi"/>
          <w:color w:val="000000" w:themeColor="text1"/>
        </w:rPr>
        <w:t>. E</w:t>
      </w:r>
      <w:r w:rsidR="00BF7066" w:rsidRPr="00FA11B6">
        <w:rPr>
          <w:rFonts w:cstheme="minorHAnsi"/>
          <w:color w:val="000000" w:themeColor="text1"/>
        </w:rPr>
        <w:t>l máximo organismo del E</w:t>
      </w:r>
      <w:r w:rsidRPr="00FA11B6">
        <w:rPr>
          <w:rFonts w:cstheme="minorHAnsi"/>
          <w:color w:val="000000" w:themeColor="text1"/>
        </w:rPr>
        <w:t xml:space="preserve">stado en materia de seguridad nacional. </w:t>
      </w:r>
      <w:r w:rsidR="000470EF" w:rsidRPr="00FA11B6">
        <w:rPr>
          <w:rFonts w:cstheme="minorHAnsi"/>
          <w:color w:val="000000" w:themeColor="text1"/>
        </w:rPr>
        <w:t xml:space="preserve">Él es </w:t>
      </w:r>
      <w:r w:rsidR="00975862">
        <w:rPr>
          <w:rFonts w:cstheme="minorHAnsi"/>
          <w:color w:val="000000" w:themeColor="text1"/>
        </w:rPr>
        <w:t xml:space="preserve">que establece todos los mecanismos necesarios para la coordinación de las actuaciones de las autoridades competentes. También es el </w:t>
      </w:r>
      <w:r w:rsidR="000470EF" w:rsidRPr="00FA11B6">
        <w:rPr>
          <w:rFonts w:cstheme="minorHAnsi"/>
          <w:color w:val="000000" w:themeColor="text1"/>
        </w:rPr>
        <w:t>punto de contacto nacional encargado de garantizar la cooperación transfronteriza de las autoridades competentes con las de otros Estados miembros de la UE, así como con el grupo de</w:t>
      </w:r>
      <w:r w:rsidR="00586663" w:rsidRPr="00FA11B6">
        <w:rPr>
          <w:rFonts w:cstheme="minorHAnsi"/>
          <w:color w:val="000000" w:themeColor="text1"/>
        </w:rPr>
        <w:t xml:space="preserve"> cooperación y la red de CSIRT, acrónimo de </w:t>
      </w:r>
      <w:proofErr w:type="spellStart"/>
      <w:r w:rsidR="00586663" w:rsidRPr="00FA11B6">
        <w:rPr>
          <w:rFonts w:cstheme="minorHAnsi"/>
          <w:i/>
          <w:color w:val="000000" w:themeColor="text1"/>
        </w:rPr>
        <w:t>Computer</w:t>
      </w:r>
      <w:proofErr w:type="spellEnd"/>
      <w:r w:rsidR="00586663" w:rsidRPr="00FA11B6">
        <w:rPr>
          <w:rFonts w:cstheme="minorHAnsi"/>
          <w:i/>
          <w:color w:val="000000" w:themeColor="text1"/>
        </w:rPr>
        <w:t xml:space="preserve"> Security </w:t>
      </w:r>
      <w:proofErr w:type="spellStart"/>
      <w:r w:rsidR="00586663" w:rsidRPr="00FA11B6">
        <w:rPr>
          <w:rFonts w:cstheme="minorHAnsi"/>
          <w:i/>
          <w:color w:val="000000" w:themeColor="text1"/>
        </w:rPr>
        <w:t>Incident</w:t>
      </w:r>
      <w:proofErr w:type="spellEnd"/>
      <w:r w:rsidR="00586663" w:rsidRPr="00FA11B6">
        <w:rPr>
          <w:rFonts w:cstheme="minorHAnsi"/>
          <w:i/>
          <w:color w:val="000000" w:themeColor="text1"/>
        </w:rPr>
        <w:t xml:space="preserve"> Response </w:t>
      </w:r>
      <w:proofErr w:type="spellStart"/>
      <w:r w:rsidR="00586663" w:rsidRPr="00FA11B6">
        <w:rPr>
          <w:rFonts w:cstheme="minorHAnsi"/>
          <w:i/>
          <w:color w:val="000000" w:themeColor="text1"/>
        </w:rPr>
        <w:t>Team</w:t>
      </w:r>
      <w:proofErr w:type="spellEnd"/>
      <w:r w:rsidR="00586663" w:rsidRPr="00FA11B6">
        <w:rPr>
          <w:rFonts w:cstheme="minorHAnsi"/>
          <w:color w:val="000000" w:themeColor="text1"/>
        </w:rPr>
        <w:t>.</w:t>
      </w:r>
    </w:p>
    <w:p w:rsidR="00ED361A" w:rsidRDefault="00ED361A" w:rsidP="002C15DF">
      <w:pPr>
        <w:pStyle w:val="ListParagraph"/>
        <w:rPr>
          <w:rFonts w:cstheme="minorHAnsi"/>
          <w:color w:val="000000" w:themeColor="text1"/>
        </w:rPr>
      </w:pPr>
    </w:p>
    <w:p w:rsidR="00975862" w:rsidRPr="001C13B6" w:rsidRDefault="001C13B6" w:rsidP="001C13B6">
      <w:pPr>
        <w:rPr>
          <w:rFonts w:cstheme="minorHAnsi"/>
          <w:color w:val="000000" w:themeColor="text1"/>
          <w:u w:val="single"/>
        </w:rPr>
      </w:pPr>
      <w:r>
        <w:rPr>
          <w:rFonts w:cstheme="minorHAnsi"/>
          <w:color w:val="000000" w:themeColor="text1"/>
          <w:u w:val="single"/>
        </w:rPr>
        <w:t>Operadores de servicios esenciales catalogados además como</w:t>
      </w:r>
      <w:r w:rsidRPr="001C13B6">
        <w:rPr>
          <w:rFonts w:cstheme="minorHAnsi"/>
          <w:color w:val="000000" w:themeColor="text1"/>
          <w:u w:val="single"/>
        </w:rPr>
        <w:t xml:space="preserve"> </w:t>
      </w:r>
      <w:r>
        <w:rPr>
          <w:rFonts w:cstheme="minorHAnsi"/>
          <w:color w:val="000000" w:themeColor="text1"/>
          <w:u w:val="single"/>
        </w:rPr>
        <w:t>críticos</w:t>
      </w:r>
    </w:p>
    <w:p w:rsidR="00975862" w:rsidRPr="00975862" w:rsidRDefault="00975862" w:rsidP="0073312F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</w:rPr>
      </w:pPr>
      <w:r w:rsidRPr="00975862">
        <w:rPr>
          <w:rFonts w:cstheme="minorHAnsi"/>
          <w:b/>
          <w:color w:val="000000" w:themeColor="text1"/>
        </w:rPr>
        <w:t xml:space="preserve">Centro Nacional de Protección de Infraestructuras y Ciberseguridad (CNPIC). </w:t>
      </w:r>
      <w:r w:rsidRPr="00975862">
        <w:rPr>
          <w:rFonts w:cstheme="minorHAnsi"/>
          <w:color w:val="000000" w:themeColor="text1"/>
        </w:rPr>
        <w:t xml:space="preserve">Creado en 2007, </w:t>
      </w:r>
      <w:r w:rsidR="0073312F" w:rsidRPr="0073312F">
        <w:rPr>
          <w:rFonts w:cstheme="minorHAnsi"/>
          <w:color w:val="000000" w:themeColor="text1"/>
        </w:rPr>
        <w:t>Depende de la Secretaría de Estado de Seguridad, del Ministerio de Interior</w:t>
      </w:r>
      <w:r w:rsidR="0073312F">
        <w:rPr>
          <w:rFonts w:cstheme="minorHAnsi"/>
          <w:color w:val="000000" w:themeColor="text1"/>
        </w:rPr>
        <w:t>. E</w:t>
      </w:r>
      <w:r w:rsidRPr="00975862">
        <w:rPr>
          <w:rFonts w:cstheme="minorHAnsi"/>
          <w:color w:val="000000" w:themeColor="text1"/>
        </w:rPr>
        <w:t>s la autoridad supervisora competente para los</w:t>
      </w:r>
      <w:r w:rsidR="001C13B6">
        <w:rPr>
          <w:rFonts w:cstheme="minorHAnsi"/>
          <w:color w:val="000000" w:themeColor="text1"/>
        </w:rPr>
        <w:t xml:space="preserve"> que hayan sido designados como</w:t>
      </w:r>
      <w:r w:rsidRPr="00975862">
        <w:rPr>
          <w:rFonts w:cstheme="minorHAnsi"/>
          <w:color w:val="000000" w:themeColor="text1"/>
        </w:rPr>
        <w:t xml:space="preserve"> operadores críticos de </w:t>
      </w:r>
      <w:r w:rsidR="001C13B6">
        <w:rPr>
          <w:rFonts w:cstheme="minorHAnsi"/>
          <w:color w:val="000000" w:themeColor="text1"/>
        </w:rPr>
        <w:t xml:space="preserve">los diferentes </w:t>
      </w:r>
      <w:r w:rsidRPr="00975862">
        <w:rPr>
          <w:rFonts w:cstheme="minorHAnsi"/>
          <w:color w:val="000000" w:themeColor="text1"/>
        </w:rPr>
        <w:t>servicios esenciales. Impulsa, coordina y supervisa todas las  políticas y actividades relacionadas con la protección de las infraestructuras críticas es</w:t>
      </w:r>
      <w:r w:rsidR="001C13B6">
        <w:rPr>
          <w:rFonts w:cstheme="minorHAnsi"/>
          <w:color w:val="000000" w:themeColor="text1"/>
        </w:rPr>
        <w:t>pañolas y con la Ciberseguridad.</w:t>
      </w:r>
      <w:r w:rsidR="0073312F">
        <w:rPr>
          <w:rFonts w:cstheme="minorHAnsi"/>
          <w:color w:val="000000" w:themeColor="text1"/>
        </w:rPr>
        <w:t xml:space="preserve"> </w:t>
      </w:r>
      <w:r w:rsidRPr="00975862">
        <w:rPr>
          <w:rFonts w:cstheme="minorHAnsi"/>
          <w:color w:val="000000" w:themeColor="text1"/>
        </w:rPr>
        <w:t>Dentro de la estructura orgánica del CNPIC se encuentra la OCC (Oficina de Coordinación Cibernética) que desempeña la coordinación técnica y la comunicación con los C</w:t>
      </w:r>
      <w:r w:rsidR="002C15DF">
        <w:rPr>
          <w:rFonts w:cstheme="minorHAnsi"/>
          <w:color w:val="000000" w:themeColor="text1"/>
        </w:rPr>
        <w:t>ERT</w:t>
      </w:r>
      <w:r w:rsidR="002C15DF" w:rsidRPr="002C15DF">
        <w:rPr>
          <w:rFonts w:cstheme="minorHAnsi"/>
          <w:color w:val="000000" w:themeColor="text1"/>
        </w:rPr>
        <w:t xml:space="preserve"> </w:t>
      </w:r>
      <w:r w:rsidR="002C15DF">
        <w:rPr>
          <w:rFonts w:cstheme="minorHAnsi"/>
          <w:color w:val="000000" w:themeColor="text1"/>
        </w:rPr>
        <w:t>(</w:t>
      </w:r>
      <w:proofErr w:type="spellStart"/>
      <w:r w:rsidR="002C15DF" w:rsidRPr="00071958">
        <w:rPr>
          <w:rFonts w:cstheme="minorHAnsi"/>
          <w:i/>
          <w:color w:val="000000" w:themeColor="text1"/>
        </w:rPr>
        <w:t>Computer</w:t>
      </w:r>
      <w:proofErr w:type="spellEnd"/>
      <w:r w:rsidR="002C15DF" w:rsidRPr="00071958">
        <w:rPr>
          <w:rFonts w:cstheme="minorHAnsi"/>
          <w:i/>
          <w:color w:val="000000" w:themeColor="text1"/>
        </w:rPr>
        <w:t xml:space="preserve"> </w:t>
      </w:r>
      <w:proofErr w:type="spellStart"/>
      <w:r w:rsidR="002C15DF" w:rsidRPr="00071958">
        <w:rPr>
          <w:rFonts w:cstheme="minorHAnsi"/>
          <w:i/>
          <w:color w:val="000000" w:themeColor="text1"/>
        </w:rPr>
        <w:t>Emergency</w:t>
      </w:r>
      <w:proofErr w:type="spellEnd"/>
      <w:r w:rsidR="002C15DF" w:rsidRPr="00071958">
        <w:rPr>
          <w:rFonts w:cstheme="minorHAnsi"/>
          <w:i/>
          <w:color w:val="000000" w:themeColor="text1"/>
        </w:rPr>
        <w:t xml:space="preserve"> Response </w:t>
      </w:r>
      <w:proofErr w:type="spellStart"/>
      <w:r w:rsidR="002C15DF" w:rsidRPr="00071958">
        <w:rPr>
          <w:rFonts w:cstheme="minorHAnsi"/>
          <w:i/>
          <w:color w:val="000000" w:themeColor="text1"/>
        </w:rPr>
        <w:t>Team</w:t>
      </w:r>
      <w:proofErr w:type="spellEnd"/>
      <w:r w:rsidR="002C15DF">
        <w:rPr>
          <w:rFonts w:cstheme="minorHAnsi"/>
          <w:color w:val="000000" w:themeColor="text1"/>
        </w:rPr>
        <w:t xml:space="preserve">) </w:t>
      </w:r>
      <w:r w:rsidRPr="00975862">
        <w:rPr>
          <w:rFonts w:cstheme="minorHAnsi"/>
          <w:color w:val="000000" w:themeColor="text1"/>
        </w:rPr>
        <w:t xml:space="preserve">nacionales de referencia: CERTSI y CCN-CERT. Estos se ocupan de la resolución técnica de incidentes de </w:t>
      </w:r>
      <w:proofErr w:type="spellStart"/>
      <w:r w:rsidRPr="00975862">
        <w:rPr>
          <w:rFonts w:cstheme="minorHAnsi"/>
          <w:color w:val="000000" w:themeColor="text1"/>
        </w:rPr>
        <w:t>ciberseguridad</w:t>
      </w:r>
      <w:proofErr w:type="spellEnd"/>
      <w:r w:rsidRPr="00975862">
        <w:rPr>
          <w:rFonts w:cstheme="minorHAnsi"/>
          <w:color w:val="000000" w:themeColor="text1"/>
        </w:rPr>
        <w:t xml:space="preserve"> que puedan afectar a operadores privados de infraestructuras críticas (CERTSI) y operadores públicos (CCN-CERT). </w:t>
      </w:r>
    </w:p>
    <w:p w:rsidR="00975862" w:rsidRPr="001C13B6" w:rsidRDefault="001C13B6" w:rsidP="001C13B6">
      <w:pPr>
        <w:rPr>
          <w:rFonts w:cstheme="minorHAnsi"/>
          <w:color w:val="000000" w:themeColor="text1"/>
          <w:u w:val="single"/>
        </w:rPr>
      </w:pPr>
      <w:r>
        <w:rPr>
          <w:rFonts w:cstheme="minorHAnsi"/>
          <w:color w:val="000000" w:themeColor="text1"/>
          <w:u w:val="single"/>
        </w:rPr>
        <w:t>O</w:t>
      </w:r>
      <w:r w:rsidRPr="001C13B6">
        <w:rPr>
          <w:rFonts w:cstheme="minorHAnsi"/>
          <w:color w:val="000000" w:themeColor="text1"/>
          <w:u w:val="single"/>
        </w:rPr>
        <w:t xml:space="preserve">peradores </w:t>
      </w:r>
      <w:r>
        <w:rPr>
          <w:rFonts w:cstheme="minorHAnsi"/>
          <w:color w:val="000000" w:themeColor="text1"/>
          <w:u w:val="single"/>
        </w:rPr>
        <w:t xml:space="preserve">de </w:t>
      </w:r>
      <w:r w:rsidRPr="001C13B6">
        <w:rPr>
          <w:rFonts w:cstheme="minorHAnsi"/>
          <w:color w:val="000000" w:themeColor="text1"/>
          <w:u w:val="single"/>
        </w:rPr>
        <w:t>servicios esenciales</w:t>
      </w:r>
      <w:r>
        <w:rPr>
          <w:rFonts w:cstheme="minorHAnsi"/>
          <w:color w:val="000000" w:themeColor="text1"/>
          <w:u w:val="single"/>
        </w:rPr>
        <w:t xml:space="preserve"> pero no considerados críticos</w:t>
      </w:r>
    </w:p>
    <w:p w:rsidR="000470EF" w:rsidRPr="00FA11B6" w:rsidRDefault="000470EF" w:rsidP="000470EF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</w:rPr>
      </w:pPr>
      <w:r w:rsidRPr="00FA11B6">
        <w:rPr>
          <w:rFonts w:cstheme="minorHAnsi"/>
          <w:b/>
          <w:color w:val="000000" w:themeColor="text1"/>
        </w:rPr>
        <w:t>Ministerio de la Presidencia</w:t>
      </w:r>
      <w:r w:rsidRPr="00FA11B6">
        <w:rPr>
          <w:rFonts w:cstheme="minorHAnsi"/>
          <w:color w:val="000000" w:themeColor="text1"/>
        </w:rPr>
        <w:t>. S</w:t>
      </w:r>
      <w:r w:rsidR="00975862">
        <w:rPr>
          <w:rFonts w:cstheme="minorHAnsi"/>
          <w:color w:val="000000" w:themeColor="text1"/>
        </w:rPr>
        <w:t xml:space="preserve">ería como el CNPIC pero en este caso con la misión de supervisar la Ciberseguridad en </w:t>
      </w:r>
      <w:r w:rsidRPr="00FA11B6">
        <w:rPr>
          <w:rFonts w:cstheme="minorHAnsi"/>
          <w:color w:val="000000" w:themeColor="text1"/>
        </w:rPr>
        <w:t xml:space="preserve">las administraciones territoriales. </w:t>
      </w:r>
    </w:p>
    <w:p w:rsidR="00794342" w:rsidRDefault="00794342" w:rsidP="00794342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</w:rPr>
      </w:pPr>
      <w:r w:rsidRPr="00D324A4">
        <w:rPr>
          <w:rFonts w:cstheme="minorHAnsi"/>
          <w:b/>
          <w:color w:val="000000" w:themeColor="text1"/>
        </w:rPr>
        <w:t xml:space="preserve">Reguladores sectoriales. </w:t>
      </w:r>
      <w:r>
        <w:rPr>
          <w:rFonts w:cstheme="minorHAnsi"/>
          <w:color w:val="000000" w:themeColor="text1"/>
        </w:rPr>
        <w:t>Supervisa a los operadores privados no calificados como críticos que operan en sectores sensibles. P</w:t>
      </w:r>
      <w:r w:rsidRPr="00D324A4">
        <w:rPr>
          <w:rFonts w:cstheme="minorHAnsi"/>
          <w:color w:val="000000" w:themeColor="text1"/>
        </w:rPr>
        <w:t>or ejemplo, para el sector financiero</w:t>
      </w:r>
      <w:r>
        <w:rPr>
          <w:rFonts w:cstheme="minorHAnsi"/>
          <w:color w:val="000000" w:themeColor="text1"/>
        </w:rPr>
        <w:t xml:space="preserve"> y de sistemas de pagos y compensación</w:t>
      </w:r>
      <w:r w:rsidRPr="00D324A4">
        <w:rPr>
          <w:rFonts w:cstheme="minorHAnsi"/>
          <w:color w:val="000000" w:themeColor="text1"/>
        </w:rPr>
        <w:t xml:space="preserve"> sería </w:t>
      </w:r>
      <w:r>
        <w:rPr>
          <w:rFonts w:cstheme="minorHAnsi"/>
          <w:color w:val="000000" w:themeColor="text1"/>
        </w:rPr>
        <w:t>la CNMV; para el energético, la CNMC. Y</w:t>
      </w:r>
      <w:r w:rsidRPr="00D324A4">
        <w:rPr>
          <w:rFonts w:cstheme="minorHAnsi"/>
          <w:color w:val="000000" w:themeColor="text1"/>
        </w:rPr>
        <w:t xml:space="preserve"> así sucesivamente</w:t>
      </w:r>
    </w:p>
    <w:p w:rsidR="001C13B6" w:rsidRPr="001C13B6" w:rsidRDefault="00BF7066" w:rsidP="001C13B6">
      <w:pPr>
        <w:pStyle w:val="ListParagraph"/>
        <w:numPr>
          <w:ilvl w:val="0"/>
          <w:numId w:val="6"/>
        </w:numPr>
        <w:rPr>
          <w:rFonts w:cstheme="minorHAnsi"/>
          <w:b/>
          <w:color w:val="000000" w:themeColor="text1"/>
        </w:rPr>
      </w:pPr>
      <w:r w:rsidRPr="00FA11B6">
        <w:rPr>
          <w:rFonts w:cstheme="minorHAnsi"/>
          <w:b/>
          <w:color w:val="000000" w:themeColor="text1"/>
        </w:rPr>
        <w:t xml:space="preserve">Centro </w:t>
      </w:r>
      <w:proofErr w:type="spellStart"/>
      <w:r w:rsidRPr="00FA11B6">
        <w:rPr>
          <w:rFonts w:cstheme="minorHAnsi"/>
          <w:b/>
          <w:color w:val="000000" w:themeColor="text1"/>
        </w:rPr>
        <w:t>Criptológico</w:t>
      </w:r>
      <w:proofErr w:type="spellEnd"/>
      <w:r w:rsidRPr="00FA11B6">
        <w:rPr>
          <w:rFonts w:cstheme="minorHAnsi"/>
          <w:b/>
          <w:color w:val="000000" w:themeColor="text1"/>
        </w:rPr>
        <w:t xml:space="preserve"> Nacional. </w:t>
      </w:r>
      <w:r w:rsidRPr="00FA11B6">
        <w:rPr>
          <w:rFonts w:cstheme="minorHAnsi"/>
          <w:color w:val="000000" w:themeColor="text1"/>
        </w:rPr>
        <w:t xml:space="preserve">Es el homólogo del CNPIC pero aplicado a </w:t>
      </w:r>
      <w:r w:rsidR="00975862">
        <w:rPr>
          <w:rFonts w:cstheme="minorHAnsi"/>
          <w:color w:val="000000" w:themeColor="text1"/>
        </w:rPr>
        <w:t xml:space="preserve">las organizaciones </w:t>
      </w:r>
      <w:r w:rsidR="001C13B6">
        <w:rPr>
          <w:rFonts w:cstheme="minorHAnsi"/>
          <w:color w:val="000000" w:themeColor="text1"/>
        </w:rPr>
        <w:t xml:space="preserve">del sector público </w:t>
      </w:r>
      <w:r w:rsidRPr="00FA11B6">
        <w:rPr>
          <w:rFonts w:cstheme="minorHAnsi"/>
          <w:color w:val="000000" w:themeColor="text1"/>
        </w:rPr>
        <w:t>que</w:t>
      </w:r>
      <w:r w:rsidR="001C13B6">
        <w:rPr>
          <w:rFonts w:cstheme="minorHAnsi"/>
          <w:color w:val="000000" w:themeColor="text1"/>
        </w:rPr>
        <w:t>, aunque operan en servicios esenciales, no se han calificado como operadores críticos.</w:t>
      </w:r>
      <w:r w:rsidR="00071958">
        <w:rPr>
          <w:rFonts w:cstheme="minorHAnsi"/>
          <w:color w:val="000000" w:themeColor="text1"/>
        </w:rPr>
        <w:t xml:space="preserve"> Está adscrito al Centro Nacional de Inteligencia. </w:t>
      </w:r>
    </w:p>
    <w:p w:rsidR="001C13B6" w:rsidRPr="001C13B6" w:rsidRDefault="001C13B6" w:rsidP="001C13B6">
      <w:pPr>
        <w:rPr>
          <w:rFonts w:cstheme="minorHAnsi"/>
          <w:color w:val="000000" w:themeColor="text1"/>
          <w:u w:val="single"/>
        </w:rPr>
      </w:pPr>
      <w:r>
        <w:rPr>
          <w:rFonts w:cstheme="minorHAnsi"/>
          <w:color w:val="000000" w:themeColor="text1"/>
          <w:u w:val="single"/>
        </w:rPr>
        <w:t>P</w:t>
      </w:r>
      <w:r w:rsidRPr="001C13B6">
        <w:rPr>
          <w:rFonts w:cstheme="minorHAnsi"/>
          <w:color w:val="000000" w:themeColor="text1"/>
          <w:u w:val="single"/>
        </w:rPr>
        <w:t>roveedores de servicios digitales</w:t>
      </w:r>
    </w:p>
    <w:p w:rsidR="000470EF" w:rsidRDefault="000470EF" w:rsidP="000470EF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</w:rPr>
      </w:pPr>
      <w:r w:rsidRPr="00FA11B6">
        <w:rPr>
          <w:rFonts w:cstheme="minorHAnsi"/>
          <w:b/>
          <w:color w:val="000000" w:themeColor="text1"/>
        </w:rPr>
        <w:t>Secretaría de Estado para la Sociedad de la Información y la Agenda Digital.</w:t>
      </w:r>
      <w:r w:rsidRPr="00FA11B6">
        <w:rPr>
          <w:rFonts w:cstheme="minorHAnsi"/>
          <w:color w:val="000000" w:themeColor="text1"/>
        </w:rPr>
        <w:t xml:space="preserve"> </w:t>
      </w:r>
      <w:r w:rsidR="0073312F">
        <w:rPr>
          <w:rFonts w:cstheme="minorHAnsi"/>
          <w:color w:val="000000" w:themeColor="text1"/>
        </w:rPr>
        <w:t>D</w:t>
      </w:r>
      <w:r w:rsidR="0073312F" w:rsidRPr="00FA11B6">
        <w:rPr>
          <w:rFonts w:cstheme="minorHAnsi"/>
          <w:color w:val="000000" w:themeColor="text1"/>
        </w:rPr>
        <w:t xml:space="preserve">epende del Ministerio de Energía, Turismo y Agenda Digital. </w:t>
      </w:r>
      <w:r w:rsidRPr="00FA11B6">
        <w:rPr>
          <w:rFonts w:cstheme="minorHAnsi"/>
          <w:color w:val="000000" w:themeColor="text1"/>
        </w:rPr>
        <w:t>Es la encargada de la supervisión de los proveedores de servicios</w:t>
      </w:r>
      <w:r>
        <w:rPr>
          <w:rFonts w:ascii="ABC Display" w:hAnsi="ABC Display" w:cs="Helvetica"/>
          <w:color w:val="000000" w:themeColor="text1"/>
          <w:sz w:val="24"/>
          <w:szCs w:val="24"/>
        </w:rPr>
        <w:t xml:space="preserve"> </w:t>
      </w:r>
      <w:r w:rsidR="001C13B6">
        <w:rPr>
          <w:rFonts w:cstheme="minorHAnsi"/>
          <w:color w:val="000000" w:themeColor="text1"/>
        </w:rPr>
        <w:t>digitales, que son una categoría diferente de los operadores críticos.</w:t>
      </w:r>
      <w:r w:rsidRPr="00FA11B6">
        <w:rPr>
          <w:rFonts w:cstheme="minorHAnsi"/>
          <w:color w:val="000000" w:themeColor="text1"/>
        </w:rPr>
        <w:t xml:space="preserve"> </w:t>
      </w:r>
    </w:p>
    <w:p w:rsidR="000B6DF3" w:rsidRPr="000B6DF3" w:rsidRDefault="000B6DF3" w:rsidP="000B6DF3">
      <w:pPr>
        <w:rPr>
          <w:rFonts w:cstheme="minorHAnsi"/>
          <w:color w:val="000000" w:themeColor="text1"/>
          <w:u w:val="single"/>
        </w:rPr>
      </w:pPr>
      <w:r w:rsidRPr="000B6DF3">
        <w:rPr>
          <w:rFonts w:cstheme="minorHAnsi"/>
          <w:color w:val="000000" w:themeColor="text1"/>
          <w:u w:val="single"/>
        </w:rPr>
        <w:t>Equipos de monitorización y respuesta a incidentes</w:t>
      </w:r>
    </w:p>
    <w:p w:rsidR="00052E39" w:rsidRPr="00567806" w:rsidRDefault="00ED361A" w:rsidP="00567806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</w:rPr>
      </w:pPr>
      <w:r w:rsidRPr="00ED361A">
        <w:rPr>
          <w:rFonts w:cstheme="minorHAnsi"/>
          <w:b/>
          <w:color w:val="000000" w:themeColor="text1"/>
        </w:rPr>
        <w:t>CERTSI</w:t>
      </w:r>
      <w:r w:rsidR="00071958">
        <w:rPr>
          <w:rFonts w:cstheme="minorHAnsi"/>
          <w:b/>
          <w:color w:val="000000" w:themeColor="text1"/>
        </w:rPr>
        <w:t>. E</w:t>
      </w:r>
      <w:r w:rsidR="006C6932">
        <w:rPr>
          <w:rFonts w:cstheme="minorHAnsi"/>
          <w:b/>
          <w:color w:val="000000" w:themeColor="text1"/>
        </w:rPr>
        <w:t xml:space="preserve">s el </w:t>
      </w:r>
      <w:r w:rsidRPr="00ED361A">
        <w:rPr>
          <w:rFonts w:cstheme="minorHAnsi"/>
          <w:b/>
          <w:color w:val="000000" w:themeColor="text1"/>
        </w:rPr>
        <w:t xml:space="preserve">CERT </w:t>
      </w:r>
      <w:r w:rsidR="00071958">
        <w:rPr>
          <w:rFonts w:cstheme="minorHAnsi"/>
          <w:b/>
          <w:color w:val="000000" w:themeColor="text1"/>
        </w:rPr>
        <w:t xml:space="preserve">de </w:t>
      </w:r>
      <w:r w:rsidRPr="00ED361A">
        <w:rPr>
          <w:rFonts w:cstheme="minorHAnsi"/>
          <w:b/>
          <w:color w:val="000000" w:themeColor="text1"/>
        </w:rPr>
        <w:t>Seguridad e Industria</w:t>
      </w:r>
      <w:r w:rsidR="00052E39">
        <w:rPr>
          <w:rFonts w:cstheme="minorHAnsi"/>
          <w:b/>
          <w:color w:val="000000" w:themeColor="text1"/>
        </w:rPr>
        <w:t xml:space="preserve">. </w:t>
      </w:r>
      <w:r w:rsidR="006C6932">
        <w:rPr>
          <w:rFonts w:cstheme="minorHAnsi"/>
          <w:color w:val="000000" w:themeColor="text1"/>
        </w:rPr>
        <w:t>En su labor de C</w:t>
      </w:r>
      <w:r w:rsidR="00071958" w:rsidRPr="00071958">
        <w:rPr>
          <w:rFonts w:cstheme="minorHAnsi"/>
          <w:color w:val="000000" w:themeColor="text1"/>
        </w:rPr>
        <w:t>ERT</w:t>
      </w:r>
      <w:r w:rsidR="006C6932">
        <w:rPr>
          <w:rFonts w:cstheme="minorHAnsi"/>
          <w:color w:val="000000" w:themeColor="text1"/>
        </w:rPr>
        <w:t xml:space="preserve"> (</w:t>
      </w:r>
      <w:proofErr w:type="spellStart"/>
      <w:r w:rsidR="00071958" w:rsidRPr="00071958">
        <w:rPr>
          <w:rFonts w:cstheme="minorHAnsi"/>
          <w:i/>
          <w:color w:val="000000" w:themeColor="text1"/>
        </w:rPr>
        <w:t>Computer</w:t>
      </w:r>
      <w:proofErr w:type="spellEnd"/>
      <w:r w:rsidR="00071958" w:rsidRPr="00071958">
        <w:rPr>
          <w:rFonts w:cstheme="minorHAnsi"/>
          <w:i/>
          <w:color w:val="000000" w:themeColor="text1"/>
        </w:rPr>
        <w:t xml:space="preserve"> </w:t>
      </w:r>
      <w:proofErr w:type="spellStart"/>
      <w:r w:rsidR="00071958" w:rsidRPr="00071958">
        <w:rPr>
          <w:rFonts w:cstheme="minorHAnsi"/>
          <w:i/>
          <w:color w:val="000000" w:themeColor="text1"/>
        </w:rPr>
        <w:t>Emergency</w:t>
      </w:r>
      <w:proofErr w:type="spellEnd"/>
      <w:r w:rsidR="00071958" w:rsidRPr="00071958">
        <w:rPr>
          <w:rFonts w:cstheme="minorHAnsi"/>
          <w:i/>
          <w:color w:val="000000" w:themeColor="text1"/>
        </w:rPr>
        <w:t xml:space="preserve"> Response </w:t>
      </w:r>
      <w:proofErr w:type="spellStart"/>
      <w:r w:rsidR="00071958" w:rsidRPr="00071958">
        <w:rPr>
          <w:rFonts w:cstheme="minorHAnsi"/>
          <w:i/>
          <w:color w:val="000000" w:themeColor="text1"/>
        </w:rPr>
        <w:t>Team</w:t>
      </w:r>
      <w:proofErr w:type="spellEnd"/>
      <w:r w:rsidR="006C6932">
        <w:rPr>
          <w:rFonts w:cstheme="minorHAnsi"/>
          <w:color w:val="000000" w:themeColor="text1"/>
        </w:rPr>
        <w:t xml:space="preserve">) presta servicio a los incidentes de Ciberseguridad que notifican </w:t>
      </w:r>
      <w:r w:rsidR="00567806">
        <w:rPr>
          <w:rFonts w:cstheme="minorHAnsi"/>
          <w:color w:val="000000" w:themeColor="text1"/>
        </w:rPr>
        <w:t xml:space="preserve">ciudadanos, empresas y </w:t>
      </w:r>
      <w:r w:rsidR="00567806">
        <w:rPr>
          <w:rFonts w:cstheme="minorHAnsi"/>
          <w:color w:val="000000" w:themeColor="text1"/>
        </w:rPr>
        <w:lastRenderedPageBreak/>
        <w:t>operadores de infraestructuras críticas en España. Lo integra un</w:t>
      </w:r>
      <w:r w:rsidR="00071958" w:rsidRPr="00567806">
        <w:rPr>
          <w:rFonts w:cstheme="minorHAnsi"/>
          <w:color w:val="000000" w:themeColor="text1"/>
        </w:rPr>
        <w:t xml:space="preserve"> equipo de personas dedicado a la implantación y gestión de medidas preventivas, reactivas y de gestión de la seguridad con el objetivo de mitigar el riesgo de ataques contra las redes y sistemas de la comunidad y ofrecer soluciones para la mitigación de cualquier incidente y sus efectos, en el menor tiempo posible. </w:t>
      </w:r>
      <w:r w:rsidRPr="00567806">
        <w:rPr>
          <w:rFonts w:cstheme="minorHAnsi"/>
          <w:color w:val="000000" w:themeColor="text1"/>
        </w:rPr>
        <w:t xml:space="preserve">Monitoriza </w:t>
      </w:r>
      <w:r w:rsidR="000B6DF3" w:rsidRPr="00567806">
        <w:rPr>
          <w:rFonts w:cstheme="minorHAnsi"/>
          <w:color w:val="000000" w:themeColor="text1"/>
        </w:rPr>
        <w:t xml:space="preserve">las redes para detectar posibles incidentes, difundir alertas sobre ellos y aportar soluciones para mitigar sus efectos. </w:t>
      </w:r>
      <w:r w:rsidRPr="00567806">
        <w:rPr>
          <w:rFonts w:cstheme="minorHAnsi"/>
          <w:color w:val="000000" w:themeColor="text1"/>
        </w:rPr>
        <w:t xml:space="preserve">Es operado técnicamente por el INCIBE y opera bajo la coordinación del CNPIC e INCIBE. </w:t>
      </w:r>
    </w:p>
    <w:p w:rsidR="000B6DF3" w:rsidRDefault="00071958" w:rsidP="00052E39">
      <w:pPr>
        <w:pStyle w:val="ListParagrap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Existen otros sub-CERT que deben coordinarse con el CERTSI</w:t>
      </w:r>
      <w:r w:rsidR="00794342" w:rsidRPr="00052E39">
        <w:rPr>
          <w:rFonts w:cstheme="minorHAnsi"/>
          <w:color w:val="000000" w:themeColor="text1"/>
        </w:rPr>
        <w:t>:</w:t>
      </w:r>
    </w:p>
    <w:p w:rsidR="006C6932" w:rsidRDefault="00794342" w:rsidP="00B5314E">
      <w:pPr>
        <w:pStyle w:val="ListParagraph"/>
        <w:numPr>
          <w:ilvl w:val="0"/>
          <w:numId w:val="8"/>
        </w:numPr>
        <w:rPr>
          <w:rFonts w:cstheme="minorHAnsi"/>
          <w:color w:val="000000" w:themeColor="text1"/>
        </w:rPr>
      </w:pPr>
      <w:r w:rsidRPr="006C6932">
        <w:rPr>
          <w:rFonts w:cstheme="minorHAnsi"/>
          <w:b/>
          <w:color w:val="000000" w:themeColor="text1"/>
        </w:rPr>
        <w:t xml:space="preserve">CCN-CERT, del Centro </w:t>
      </w:r>
      <w:proofErr w:type="spellStart"/>
      <w:r w:rsidRPr="006C6932">
        <w:rPr>
          <w:rFonts w:cstheme="minorHAnsi"/>
          <w:b/>
          <w:color w:val="000000" w:themeColor="text1"/>
        </w:rPr>
        <w:t>Criptológico</w:t>
      </w:r>
      <w:proofErr w:type="spellEnd"/>
      <w:r w:rsidRPr="006C6932">
        <w:rPr>
          <w:rFonts w:cstheme="minorHAnsi"/>
          <w:b/>
          <w:color w:val="000000" w:themeColor="text1"/>
        </w:rPr>
        <w:t xml:space="preserve"> Nacional. </w:t>
      </w:r>
      <w:r w:rsidRPr="006C6932">
        <w:rPr>
          <w:rFonts w:cstheme="minorHAnsi"/>
          <w:color w:val="000000" w:themeColor="text1"/>
        </w:rPr>
        <w:t>Es la comunidad de referencia para l</w:t>
      </w:r>
      <w:r w:rsidR="006C6932" w:rsidRPr="006C6932">
        <w:rPr>
          <w:rFonts w:cstheme="minorHAnsi"/>
          <w:color w:val="000000" w:themeColor="text1"/>
        </w:rPr>
        <w:t xml:space="preserve">as administraciones públicas. </w:t>
      </w:r>
    </w:p>
    <w:p w:rsidR="00794342" w:rsidRPr="006C6932" w:rsidRDefault="00794342" w:rsidP="00B5314E">
      <w:pPr>
        <w:pStyle w:val="ListParagraph"/>
        <w:numPr>
          <w:ilvl w:val="0"/>
          <w:numId w:val="8"/>
        </w:numPr>
        <w:rPr>
          <w:rFonts w:cstheme="minorHAnsi"/>
          <w:color w:val="000000" w:themeColor="text1"/>
        </w:rPr>
      </w:pPr>
      <w:r w:rsidRPr="006C6932">
        <w:rPr>
          <w:rFonts w:cstheme="minorHAnsi"/>
          <w:b/>
          <w:color w:val="000000" w:themeColor="text1"/>
        </w:rPr>
        <w:t>INCIBE-CERT, del Instituto Nacional de Ciberseguridad de España</w:t>
      </w:r>
      <w:r w:rsidR="002C15DF">
        <w:rPr>
          <w:rFonts w:cstheme="minorHAnsi"/>
          <w:color w:val="000000" w:themeColor="text1"/>
        </w:rPr>
        <w:t xml:space="preserve"> (INCIBE). </w:t>
      </w:r>
      <w:r w:rsidRPr="006C6932">
        <w:rPr>
          <w:rFonts w:cstheme="minorHAnsi"/>
          <w:color w:val="000000" w:themeColor="text1"/>
        </w:rPr>
        <w:t>Las no incluidas en el capítulo anterior y también los proveedores de servicios digitales, ciudadanos y entidades de derecho privado. Está operado conjuntamente por el INCIBE y el CNPIC en todo lo referente a la gestión de incidentes que afectan a operadores críticos.</w:t>
      </w:r>
    </w:p>
    <w:p w:rsidR="00794342" w:rsidRPr="0079488C" w:rsidRDefault="00794342" w:rsidP="0079488C">
      <w:pPr>
        <w:pStyle w:val="ListParagraph"/>
        <w:numPr>
          <w:ilvl w:val="0"/>
          <w:numId w:val="8"/>
        </w:numPr>
        <w:rPr>
          <w:rFonts w:cstheme="minorHAnsi"/>
          <w:color w:val="000000" w:themeColor="text1"/>
        </w:rPr>
      </w:pPr>
      <w:r w:rsidRPr="00052E39">
        <w:rPr>
          <w:rFonts w:cstheme="minorHAnsi"/>
          <w:b/>
          <w:color w:val="000000" w:themeColor="text1"/>
        </w:rPr>
        <w:t>ESPDEF-CERT</w:t>
      </w:r>
      <w:r>
        <w:rPr>
          <w:rFonts w:cstheme="minorHAnsi"/>
          <w:color w:val="000000" w:themeColor="text1"/>
        </w:rPr>
        <w:t xml:space="preserve">, del Mando Conjunto de </w:t>
      </w:r>
      <w:proofErr w:type="spellStart"/>
      <w:r>
        <w:rPr>
          <w:rFonts w:cstheme="minorHAnsi"/>
          <w:color w:val="000000" w:themeColor="text1"/>
        </w:rPr>
        <w:t>Ciberdefensa</w:t>
      </w:r>
      <w:proofErr w:type="spellEnd"/>
      <w:r>
        <w:rPr>
          <w:rFonts w:cstheme="minorHAnsi"/>
          <w:color w:val="000000" w:themeColor="text1"/>
        </w:rPr>
        <w:t xml:space="preserve">. Coopera con los dos anteriores cuando así se requiere. </w:t>
      </w:r>
    </w:p>
    <w:p w:rsidR="00286685" w:rsidRDefault="00286685" w:rsidP="00586663">
      <w:pPr>
        <w:rPr>
          <w:b/>
          <w:sz w:val="32"/>
          <w:szCs w:val="32"/>
        </w:rPr>
      </w:pPr>
    </w:p>
    <w:p w:rsidR="00392312" w:rsidRPr="00C466E1" w:rsidRDefault="00392312" w:rsidP="00392312">
      <w:pPr>
        <w:rPr>
          <w:sz w:val="20"/>
          <w:szCs w:val="20"/>
        </w:rPr>
      </w:pPr>
      <w:bookmarkStart w:id="0" w:name="_GoBack"/>
      <w:bookmarkEnd w:id="0"/>
    </w:p>
    <w:sectPr w:rsidR="00392312" w:rsidRPr="00C466E1" w:rsidSect="00BE1EE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BC Display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6542D"/>
    <w:multiLevelType w:val="hybridMultilevel"/>
    <w:tmpl w:val="1C8A632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D298E"/>
    <w:multiLevelType w:val="hybridMultilevel"/>
    <w:tmpl w:val="DBE699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3A4ADF"/>
    <w:multiLevelType w:val="hybridMultilevel"/>
    <w:tmpl w:val="E06414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F54EFA"/>
    <w:multiLevelType w:val="hybridMultilevel"/>
    <w:tmpl w:val="3364FB72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D0A4B9B"/>
    <w:multiLevelType w:val="hybridMultilevel"/>
    <w:tmpl w:val="C1EE4C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6926A8"/>
    <w:multiLevelType w:val="hybridMultilevel"/>
    <w:tmpl w:val="4D38E0E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275580"/>
    <w:multiLevelType w:val="hybridMultilevel"/>
    <w:tmpl w:val="49409914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2B5497E"/>
    <w:multiLevelType w:val="multilevel"/>
    <w:tmpl w:val="6D5A8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BEA"/>
    <w:rsid w:val="0000046E"/>
    <w:rsid w:val="000118BE"/>
    <w:rsid w:val="0001531F"/>
    <w:rsid w:val="00034C9C"/>
    <w:rsid w:val="000470EF"/>
    <w:rsid w:val="000501BD"/>
    <w:rsid w:val="00052E39"/>
    <w:rsid w:val="00071958"/>
    <w:rsid w:val="00090FCE"/>
    <w:rsid w:val="0009211E"/>
    <w:rsid w:val="000A72FC"/>
    <w:rsid w:val="000A7A06"/>
    <w:rsid w:val="000B6DF3"/>
    <w:rsid w:val="000C253A"/>
    <w:rsid w:val="000C78DE"/>
    <w:rsid w:val="000F4A62"/>
    <w:rsid w:val="00116825"/>
    <w:rsid w:val="0012108E"/>
    <w:rsid w:val="00141194"/>
    <w:rsid w:val="00145A98"/>
    <w:rsid w:val="00150119"/>
    <w:rsid w:val="00166FFF"/>
    <w:rsid w:val="00175DDD"/>
    <w:rsid w:val="001845C7"/>
    <w:rsid w:val="00194B11"/>
    <w:rsid w:val="001A1F6D"/>
    <w:rsid w:val="001A55B7"/>
    <w:rsid w:val="001C13B6"/>
    <w:rsid w:val="001C48CF"/>
    <w:rsid w:val="001D19BD"/>
    <w:rsid w:val="001E0559"/>
    <w:rsid w:val="001E2396"/>
    <w:rsid w:val="001F52F7"/>
    <w:rsid w:val="00233C2A"/>
    <w:rsid w:val="00245EA5"/>
    <w:rsid w:val="00253D24"/>
    <w:rsid w:val="0026596E"/>
    <w:rsid w:val="00267DDE"/>
    <w:rsid w:val="002767FA"/>
    <w:rsid w:val="00280BEA"/>
    <w:rsid w:val="00286685"/>
    <w:rsid w:val="002900E2"/>
    <w:rsid w:val="002963F0"/>
    <w:rsid w:val="002B4FE5"/>
    <w:rsid w:val="002C15B3"/>
    <w:rsid w:val="002C15DF"/>
    <w:rsid w:val="002F0A89"/>
    <w:rsid w:val="0030140B"/>
    <w:rsid w:val="003202BE"/>
    <w:rsid w:val="003273FF"/>
    <w:rsid w:val="003276DA"/>
    <w:rsid w:val="003460AB"/>
    <w:rsid w:val="00362F5C"/>
    <w:rsid w:val="00366602"/>
    <w:rsid w:val="00372306"/>
    <w:rsid w:val="00376C55"/>
    <w:rsid w:val="00377503"/>
    <w:rsid w:val="00392312"/>
    <w:rsid w:val="0039310C"/>
    <w:rsid w:val="003D5B39"/>
    <w:rsid w:val="003F5576"/>
    <w:rsid w:val="00437E9B"/>
    <w:rsid w:val="00443FFF"/>
    <w:rsid w:val="004535D7"/>
    <w:rsid w:val="00475412"/>
    <w:rsid w:val="0048572C"/>
    <w:rsid w:val="004977FC"/>
    <w:rsid w:val="004A5FD0"/>
    <w:rsid w:val="004B1C97"/>
    <w:rsid w:val="004C548E"/>
    <w:rsid w:val="004D44A1"/>
    <w:rsid w:val="004F0ABD"/>
    <w:rsid w:val="00500AFD"/>
    <w:rsid w:val="00525401"/>
    <w:rsid w:val="00527EEC"/>
    <w:rsid w:val="00550D12"/>
    <w:rsid w:val="00552765"/>
    <w:rsid w:val="00567806"/>
    <w:rsid w:val="00572FA9"/>
    <w:rsid w:val="005762A4"/>
    <w:rsid w:val="005803A5"/>
    <w:rsid w:val="00586663"/>
    <w:rsid w:val="005A20A1"/>
    <w:rsid w:val="005B255B"/>
    <w:rsid w:val="005B6700"/>
    <w:rsid w:val="005B7B46"/>
    <w:rsid w:val="005C185A"/>
    <w:rsid w:val="005D07D7"/>
    <w:rsid w:val="005E3C5D"/>
    <w:rsid w:val="005E4FA8"/>
    <w:rsid w:val="00606E2B"/>
    <w:rsid w:val="00624259"/>
    <w:rsid w:val="006249DC"/>
    <w:rsid w:val="00634CF3"/>
    <w:rsid w:val="0064738C"/>
    <w:rsid w:val="00656744"/>
    <w:rsid w:val="00671189"/>
    <w:rsid w:val="0067211C"/>
    <w:rsid w:val="0067655E"/>
    <w:rsid w:val="006A5D01"/>
    <w:rsid w:val="006C6932"/>
    <w:rsid w:val="006E00E3"/>
    <w:rsid w:val="006E45EA"/>
    <w:rsid w:val="007068AD"/>
    <w:rsid w:val="0073312F"/>
    <w:rsid w:val="007447E9"/>
    <w:rsid w:val="00794342"/>
    <w:rsid w:val="0079488C"/>
    <w:rsid w:val="007C5DF1"/>
    <w:rsid w:val="007E4456"/>
    <w:rsid w:val="007F5D87"/>
    <w:rsid w:val="00853444"/>
    <w:rsid w:val="00856009"/>
    <w:rsid w:val="00866CAE"/>
    <w:rsid w:val="00875B81"/>
    <w:rsid w:val="00883797"/>
    <w:rsid w:val="00884885"/>
    <w:rsid w:val="008B59D1"/>
    <w:rsid w:val="00923E43"/>
    <w:rsid w:val="00926E73"/>
    <w:rsid w:val="00932613"/>
    <w:rsid w:val="00973B78"/>
    <w:rsid w:val="00975862"/>
    <w:rsid w:val="00981883"/>
    <w:rsid w:val="00982872"/>
    <w:rsid w:val="00985142"/>
    <w:rsid w:val="00985D0A"/>
    <w:rsid w:val="009872BB"/>
    <w:rsid w:val="009961B6"/>
    <w:rsid w:val="009B49AC"/>
    <w:rsid w:val="009F0CBA"/>
    <w:rsid w:val="00A17672"/>
    <w:rsid w:val="00A210F9"/>
    <w:rsid w:val="00A27AB9"/>
    <w:rsid w:val="00A41A49"/>
    <w:rsid w:val="00A449E2"/>
    <w:rsid w:val="00A47B07"/>
    <w:rsid w:val="00A56E92"/>
    <w:rsid w:val="00A67BA8"/>
    <w:rsid w:val="00A70F46"/>
    <w:rsid w:val="00A73973"/>
    <w:rsid w:val="00A92A8D"/>
    <w:rsid w:val="00A960B2"/>
    <w:rsid w:val="00A969E1"/>
    <w:rsid w:val="00AA7AAA"/>
    <w:rsid w:val="00AB0BB0"/>
    <w:rsid w:val="00AB2871"/>
    <w:rsid w:val="00AB6C35"/>
    <w:rsid w:val="00AD4304"/>
    <w:rsid w:val="00AE68F5"/>
    <w:rsid w:val="00AF5443"/>
    <w:rsid w:val="00B059BF"/>
    <w:rsid w:val="00B069BB"/>
    <w:rsid w:val="00B14F8F"/>
    <w:rsid w:val="00B356C7"/>
    <w:rsid w:val="00B440CC"/>
    <w:rsid w:val="00B6180D"/>
    <w:rsid w:val="00B715F3"/>
    <w:rsid w:val="00B72DB9"/>
    <w:rsid w:val="00B76BE7"/>
    <w:rsid w:val="00BA25BC"/>
    <w:rsid w:val="00BB18AF"/>
    <w:rsid w:val="00BE1EE7"/>
    <w:rsid w:val="00BE69BC"/>
    <w:rsid w:val="00BF7066"/>
    <w:rsid w:val="00C03D0C"/>
    <w:rsid w:val="00C24884"/>
    <w:rsid w:val="00C327F2"/>
    <w:rsid w:val="00C466E1"/>
    <w:rsid w:val="00C46799"/>
    <w:rsid w:val="00C703F0"/>
    <w:rsid w:val="00C87069"/>
    <w:rsid w:val="00C929A8"/>
    <w:rsid w:val="00C93B5B"/>
    <w:rsid w:val="00CA0E71"/>
    <w:rsid w:val="00CA47AA"/>
    <w:rsid w:val="00CC5737"/>
    <w:rsid w:val="00CF591F"/>
    <w:rsid w:val="00D01597"/>
    <w:rsid w:val="00D26F48"/>
    <w:rsid w:val="00D32153"/>
    <w:rsid w:val="00D3218A"/>
    <w:rsid w:val="00D324A4"/>
    <w:rsid w:val="00D328AF"/>
    <w:rsid w:val="00D46B99"/>
    <w:rsid w:val="00DB30A9"/>
    <w:rsid w:val="00DB5281"/>
    <w:rsid w:val="00DE05A8"/>
    <w:rsid w:val="00DE6E9B"/>
    <w:rsid w:val="00DF0617"/>
    <w:rsid w:val="00E050FB"/>
    <w:rsid w:val="00E237EA"/>
    <w:rsid w:val="00E258F3"/>
    <w:rsid w:val="00E32FF7"/>
    <w:rsid w:val="00E43E3D"/>
    <w:rsid w:val="00E5280D"/>
    <w:rsid w:val="00E6102D"/>
    <w:rsid w:val="00E86035"/>
    <w:rsid w:val="00E9348D"/>
    <w:rsid w:val="00EA5F04"/>
    <w:rsid w:val="00EC4ECB"/>
    <w:rsid w:val="00ED361A"/>
    <w:rsid w:val="00ED65B1"/>
    <w:rsid w:val="00EF0EAD"/>
    <w:rsid w:val="00EF7897"/>
    <w:rsid w:val="00F043A0"/>
    <w:rsid w:val="00F11A2E"/>
    <w:rsid w:val="00F152E5"/>
    <w:rsid w:val="00F2147E"/>
    <w:rsid w:val="00F232CF"/>
    <w:rsid w:val="00F54DB1"/>
    <w:rsid w:val="00F81FBA"/>
    <w:rsid w:val="00FA11B6"/>
    <w:rsid w:val="00FB66F2"/>
    <w:rsid w:val="00FD14FC"/>
    <w:rsid w:val="00FE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925119-CB90-4D8E-9143-6A36B5CBB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68F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B0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FollowedHyperlink">
    <w:name w:val="FollowedHyperlink"/>
    <w:basedOn w:val="DefaultParagraphFont"/>
    <w:uiPriority w:val="99"/>
    <w:semiHidden/>
    <w:unhideWhenUsed/>
    <w:rsid w:val="009F0CB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B4FE5"/>
    <w:pPr>
      <w:ind w:left="720"/>
      <w:contextualSpacing/>
    </w:pPr>
  </w:style>
  <w:style w:type="paragraph" w:customStyle="1" w:styleId="Pa17">
    <w:name w:val="Pa17"/>
    <w:basedOn w:val="Normal"/>
    <w:next w:val="Normal"/>
    <w:uiPriority w:val="99"/>
    <w:rsid w:val="00267DDE"/>
    <w:pPr>
      <w:autoSpaceDE w:val="0"/>
      <w:autoSpaceDN w:val="0"/>
      <w:adjustRightInd w:val="0"/>
      <w:spacing w:after="0" w:line="211" w:lineRule="atLeast"/>
    </w:pPr>
    <w:rPr>
      <w:rFonts w:ascii="Calibri" w:hAnsi="Calibri" w:cs="Calibr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1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18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A20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20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20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20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20A1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07195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2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16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71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23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75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92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719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81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4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5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2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82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3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58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274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177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5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7EE7A-7869-4CCE-9559-5224CC867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665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4320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Calle Ramos, Maria Consuelo</dc:creator>
  <cp:lastModifiedBy>Calle Ramos, Maria Consuelo</cp:lastModifiedBy>
  <cp:revision>3</cp:revision>
  <cp:lastPrinted>2018-03-19T12:41:00Z</cp:lastPrinted>
  <dcterms:created xsi:type="dcterms:W3CDTF">2018-04-03T11:08:00Z</dcterms:created>
  <dcterms:modified xsi:type="dcterms:W3CDTF">2018-04-03T11:09:00Z</dcterms:modified>
</cp:coreProperties>
</file>